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color w:val="000000"/>
          <w:sz w:val="32"/>
          <w:szCs w:val="32"/>
        </w:rPr>
      </w:pPr>
      <w:r>
        <w:rPr>
          <w:rFonts w:hint="eastAsia" w:ascii="黑体" w:hAnsi="黑体" w:eastAsia="黑体" w:cs="黑体"/>
          <w:bCs/>
          <w:color w:val="000000"/>
          <w:sz w:val="32"/>
          <w:szCs w:val="32"/>
        </w:rPr>
        <w:t>附件</w:t>
      </w:r>
      <w:r>
        <w:rPr>
          <w:rFonts w:ascii="黑体" w:hAnsi="黑体" w:eastAsia="黑体" w:cs="黑体"/>
          <w:bCs/>
          <w:color w:val="000000"/>
          <w:sz w:val="32"/>
          <w:szCs w:val="32"/>
        </w:rPr>
        <w:t>1</w:t>
      </w:r>
    </w:p>
    <w:p>
      <w:pPr>
        <w:spacing w:line="560" w:lineRule="exact"/>
        <w:jc w:val="center"/>
        <w:rPr>
          <w:rFonts w:ascii="方正小标宋简体" w:hAnsi="方正小标宋简体" w:eastAsia="方正小标宋简体" w:cs="方正小标宋简体"/>
          <w:bCs/>
          <w:color w:val="000000"/>
          <w:sz w:val="36"/>
          <w:szCs w:val="36"/>
        </w:rPr>
      </w:pPr>
    </w:p>
    <w:p>
      <w:pPr>
        <w:spacing w:line="600" w:lineRule="exact"/>
        <w:jc w:val="center"/>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 w:val="0"/>
          <w:bCs/>
          <w:color w:val="000000"/>
          <w:sz w:val="36"/>
          <w:szCs w:val="36"/>
        </w:rPr>
        <w:t>“东亚文化之都”</w:t>
      </w:r>
    </w:p>
    <w:p>
      <w:pPr>
        <w:spacing w:line="600" w:lineRule="exact"/>
        <w:jc w:val="center"/>
        <w:rPr>
          <w:rFonts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申报、验收、认定和管理实施</w:t>
      </w:r>
      <w:r>
        <w:rPr>
          <w:rFonts w:hint="eastAsia" w:ascii="方正小标宋简体" w:hAnsi="方正小标宋简体" w:eastAsia="方正小标宋简体" w:cs="方正小标宋简体"/>
          <w:bCs/>
          <w:color w:val="000000"/>
          <w:sz w:val="36"/>
          <w:szCs w:val="36"/>
        </w:rPr>
        <w:t>办法（暂行）</w:t>
      </w:r>
    </w:p>
    <w:p>
      <w:pPr>
        <w:spacing w:line="560" w:lineRule="exact"/>
        <w:jc w:val="center"/>
        <w:rPr>
          <w:b w:val="0"/>
          <w:bCs/>
          <w:color w:val="000000"/>
          <w:sz w:val="28"/>
          <w:szCs w:val="28"/>
        </w:rPr>
      </w:pPr>
    </w:p>
    <w:p>
      <w:pPr>
        <w:pStyle w:val="4"/>
        <w:adjustRightInd w:val="0"/>
        <w:snapToGrid w:val="0"/>
        <w:spacing w:line="630" w:lineRule="exact"/>
        <w:jc w:val="center"/>
        <w:rPr>
          <w:rFonts w:ascii="黑体" w:hAnsi="黑体" w:eastAsia="黑体" w:cs="黑体"/>
          <w:b w:val="0"/>
          <w:bCs/>
          <w:color w:val="000000"/>
          <w:kern w:val="0"/>
          <w:sz w:val="32"/>
          <w:szCs w:val="32"/>
          <w:shd w:val="clear" w:color="auto" w:fill="auto"/>
        </w:rPr>
      </w:pPr>
      <w:bookmarkStart w:id="0" w:name="_Toc524558517"/>
      <w:bookmarkStart w:id="1" w:name="_Toc3115631"/>
      <w:bookmarkStart w:id="2" w:name="_Toc524965230"/>
      <w:r>
        <w:rPr>
          <w:rFonts w:hint="eastAsia" w:ascii="黑体" w:hAnsi="黑体" w:eastAsia="黑体" w:cs="黑体"/>
          <w:b w:val="0"/>
          <w:bCs/>
          <w:color w:val="000000"/>
          <w:kern w:val="0"/>
          <w:sz w:val="32"/>
          <w:szCs w:val="32"/>
          <w:shd w:val="clear" w:color="auto" w:fill="auto"/>
        </w:rPr>
        <w:t>第一章</w:t>
      </w:r>
      <w:r>
        <w:rPr>
          <w:rFonts w:ascii="黑体" w:hAnsi="黑体" w:eastAsia="黑体" w:cs="黑体"/>
          <w:b w:val="0"/>
          <w:bCs/>
          <w:color w:val="000000"/>
          <w:kern w:val="0"/>
          <w:sz w:val="32"/>
          <w:szCs w:val="32"/>
          <w:shd w:val="clear" w:color="auto" w:fill="auto"/>
        </w:rPr>
        <w:t xml:space="preserve">  </w:t>
      </w:r>
      <w:r>
        <w:rPr>
          <w:rFonts w:hint="eastAsia" w:ascii="黑体" w:hAnsi="黑体" w:eastAsia="黑体" w:cs="黑体"/>
          <w:b w:val="0"/>
          <w:bCs/>
          <w:color w:val="000000"/>
          <w:kern w:val="0"/>
          <w:sz w:val="32"/>
          <w:szCs w:val="32"/>
          <w:shd w:val="clear" w:color="auto" w:fill="auto"/>
        </w:rPr>
        <w:t>总</w:t>
      </w:r>
      <w:r>
        <w:rPr>
          <w:rFonts w:hint="eastAsia" w:ascii="黑体" w:hAnsi="黑体" w:eastAsia="黑体" w:cs="黑体"/>
          <w:bCs/>
          <w:color w:val="000000"/>
          <w:kern w:val="0"/>
          <w:sz w:val="32"/>
          <w:szCs w:val="32"/>
        </w:rPr>
        <w:t xml:space="preserve">  </w:t>
      </w:r>
      <w:r>
        <w:rPr>
          <w:rFonts w:hint="eastAsia" w:ascii="黑体" w:hAnsi="黑体" w:eastAsia="黑体" w:cs="黑体"/>
          <w:b w:val="0"/>
          <w:bCs/>
          <w:color w:val="000000"/>
          <w:kern w:val="0"/>
          <w:sz w:val="32"/>
          <w:szCs w:val="32"/>
          <w:shd w:val="clear" w:color="auto" w:fill="auto"/>
        </w:rPr>
        <w:t>则</w:t>
      </w:r>
      <w:bookmarkEnd w:id="0"/>
      <w:bookmarkEnd w:id="1"/>
      <w:bookmarkEnd w:id="2"/>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第一条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为深入贯彻习近平新时代中国特色社会主义思想和党的十九大精神，统筹推进“五位一体”总体布局和协调推进“四个全面”战略布局，牢固树立和贯彻落实新发展理念，弘扬中华文化的理念、智慧、气度、神韵。认真落实第七次中日韩领导人会议联合声明，以及第十次中日韩文化部长会议精神要求，弘扬“东亚意识、文化交融、彼此欣赏”的“东亚文化之都”精神，制定本办法。</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第二条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本办法所指的“东亚文化之都”是指具备丰富的地方文化资源和鲜明的地方文化特色，同时具备一定的东亚文化资源、东亚文化气质并反映东亚文化精神，对促进东亚文化交流与互学互鉴具有引领与示范作用并经过一定程序认定的城市。</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第三条</w:t>
      </w:r>
      <w:r>
        <w:rPr>
          <w:rStyle w:val="5"/>
          <w:rFonts w:ascii="仿宋_GB2312" w:hAnsi="仿宋_GB2312" w:cs="仿宋_GB2312"/>
          <w:bCs/>
          <w:szCs w:val="32"/>
        </w:rPr>
        <w:t xml:space="preserve">  </w:t>
      </w:r>
      <w:r>
        <w:rPr>
          <w:rStyle w:val="5"/>
          <w:rFonts w:hint="eastAsia" w:ascii="仿宋_GB2312" w:hAnsi="仿宋_GB2312" w:eastAsia="仿宋_GB2312" w:cs="仿宋_GB2312"/>
          <w:bCs/>
          <w:sz w:val="32"/>
          <w:szCs w:val="32"/>
        </w:rPr>
        <w:t>“东亚文化之都”</w:t>
      </w:r>
      <w:r>
        <w:rPr>
          <w:rFonts w:hint="eastAsia" w:ascii="仿宋_GB2312" w:hAnsi="仿宋_GB2312" w:cs="仿宋_GB2312"/>
          <w:bCs/>
          <w:color w:val="000000"/>
          <w:kern w:val="0"/>
          <w:szCs w:val="32"/>
        </w:rPr>
        <w:t>旨在发挥中日韩</w:t>
      </w:r>
      <w:r>
        <w:rPr>
          <w:rFonts w:ascii="仿宋_GB2312" w:hAnsi="仿宋_GB2312" w:cs="仿宋_GB2312"/>
          <w:bCs/>
          <w:color w:val="000000"/>
          <w:kern w:val="0"/>
          <w:szCs w:val="32"/>
        </w:rPr>
        <w:t>3</w:t>
      </w:r>
      <w:r>
        <w:rPr>
          <w:rFonts w:hint="eastAsia" w:ascii="仿宋_GB2312" w:hAnsi="仿宋_GB2312" w:cs="仿宋_GB2312"/>
          <w:bCs/>
          <w:color w:val="000000"/>
          <w:kern w:val="0"/>
          <w:szCs w:val="32"/>
        </w:rPr>
        <w:t>国历史文化渊源深厚、文脉相通、文化传统相近的优势，在世界舞台上传承和弘扬中华优秀传统文化</w:t>
      </w:r>
      <w:r>
        <w:rPr>
          <w:rFonts w:ascii="仿宋_GB2312" w:hAnsi="仿宋_GB2312" w:cs="仿宋_GB2312"/>
          <w:bCs/>
          <w:color w:val="000000"/>
          <w:kern w:val="0"/>
          <w:szCs w:val="32"/>
        </w:rPr>
        <w:t>,</w:t>
      </w:r>
      <w:r>
        <w:rPr>
          <w:rFonts w:hint="eastAsia" w:ascii="仿宋_GB2312" w:hAnsi="仿宋_GB2312" w:cs="仿宋_GB2312"/>
          <w:bCs/>
          <w:color w:val="000000"/>
          <w:kern w:val="0"/>
          <w:szCs w:val="32"/>
        </w:rPr>
        <w:t>传播当代中国价值观念，展示中华文化独特魅力。</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第四条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“东亚文化之都”的申报、验收、认定和管理工作，遵循“严格标准、注重实效、突出影响、统一认定、动态管理”的原则，坚持公开、公平、公正、透明，通过竞争性选拔择优认定。</w:t>
      </w:r>
    </w:p>
    <w:p>
      <w:pPr>
        <w:pStyle w:val="4"/>
        <w:adjustRightInd w:val="0"/>
        <w:snapToGrid w:val="0"/>
        <w:spacing w:line="630" w:lineRule="exact"/>
        <w:ind w:firstLine="562"/>
        <w:rPr>
          <w:rFonts w:hAnsi="宋体" w:cs="宋体"/>
          <w:b w:val="0"/>
          <w:bCs/>
          <w:color w:val="000000"/>
          <w:kern w:val="0"/>
          <w:sz w:val="28"/>
          <w:szCs w:val="28"/>
          <w:shd w:val="clear" w:color="auto" w:fill="auto"/>
        </w:rPr>
      </w:pPr>
    </w:p>
    <w:p>
      <w:pPr>
        <w:pStyle w:val="4"/>
        <w:adjustRightInd w:val="0"/>
        <w:snapToGrid w:val="0"/>
        <w:spacing w:line="630" w:lineRule="exact"/>
        <w:jc w:val="center"/>
        <w:rPr>
          <w:rFonts w:ascii="黑体" w:hAnsi="黑体" w:eastAsia="黑体" w:cs="黑体"/>
          <w:b w:val="0"/>
          <w:bCs/>
          <w:color w:val="000000"/>
          <w:kern w:val="0"/>
          <w:sz w:val="32"/>
          <w:szCs w:val="32"/>
          <w:shd w:val="clear" w:color="auto" w:fill="auto"/>
        </w:rPr>
      </w:pPr>
      <w:r>
        <w:rPr>
          <w:rFonts w:hint="eastAsia" w:ascii="黑体" w:hAnsi="黑体" w:eastAsia="黑体" w:cs="黑体"/>
          <w:b w:val="0"/>
          <w:bCs/>
          <w:color w:val="000000"/>
          <w:kern w:val="0"/>
          <w:sz w:val="32"/>
          <w:szCs w:val="32"/>
          <w:shd w:val="clear" w:color="auto" w:fill="auto"/>
        </w:rPr>
        <w:t>第二章</w:t>
      </w:r>
      <w:r>
        <w:rPr>
          <w:rFonts w:hint="eastAsia" w:ascii="黑体" w:hAnsi="黑体" w:eastAsia="黑体" w:cs="黑体"/>
          <w:bCs/>
          <w:color w:val="000000"/>
          <w:kern w:val="0"/>
          <w:sz w:val="32"/>
          <w:szCs w:val="32"/>
        </w:rPr>
        <w:t xml:space="preserve"> </w:t>
      </w:r>
      <w:r>
        <w:rPr>
          <w:rFonts w:ascii="黑体" w:hAnsi="黑体" w:eastAsia="黑体" w:cs="黑体"/>
          <w:b w:val="0"/>
          <w:bCs/>
          <w:color w:val="000000"/>
          <w:kern w:val="0"/>
          <w:sz w:val="32"/>
          <w:szCs w:val="32"/>
          <w:shd w:val="clear" w:color="auto" w:fill="auto"/>
        </w:rPr>
        <w:t xml:space="preserve"> </w:t>
      </w:r>
      <w:r>
        <w:rPr>
          <w:rFonts w:hint="eastAsia" w:ascii="黑体" w:hAnsi="黑体" w:eastAsia="黑体" w:cs="黑体"/>
          <w:b w:val="0"/>
          <w:bCs/>
          <w:color w:val="000000"/>
          <w:kern w:val="0"/>
          <w:sz w:val="32"/>
          <w:szCs w:val="32"/>
          <w:shd w:val="clear" w:color="auto" w:fill="auto"/>
        </w:rPr>
        <w:t>职责及分工</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第五条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文化和旅游部统筹“东亚文化之都”的申报、验收、认定和管理等工作。</w:t>
      </w:r>
      <w:r>
        <w:rPr>
          <w:rFonts w:ascii="仿宋_GB2312" w:hAnsi="仿宋_GB2312" w:cs="仿宋_GB2312"/>
          <w:bCs/>
          <w:color w:val="000000"/>
          <w:kern w:val="0"/>
          <w:szCs w:val="32"/>
        </w:rPr>
        <w:t xml:space="preserve"> </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第六条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省级文化和旅游行政部门牵头负责本地区候选城市的申报、省级验收和监督管理等工作。</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第七条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候选城市的人民政府负责组织开展创建、申请验收，及时做好总结、整改等相关工作。</w:t>
      </w:r>
    </w:p>
    <w:p>
      <w:pPr>
        <w:adjustRightInd w:val="0"/>
        <w:snapToGrid w:val="0"/>
        <w:spacing w:line="630" w:lineRule="exact"/>
        <w:ind w:firstLine="560" w:firstLineChars="200"/>
        <w:rPr>
          <w:rFonts w:ascii="宋体" w:cs="宋体"/>
          <w:bCs/>
          <w:color w:val="000000"/>
          <w:kern w:val="0"/>
          <w:sz w:val="28"/>
          <w:szCs w:val="28"/>
        </w:rPr>
      </w:pPr>
    </w:p>
    <w:p>
      <w:pPr>
        <w:pStyle w:val="4"/>
        <w:adjustRightInd w:val="0"/>
        <w:snapToGrid w:val="0"/>
        <w:spacing w:line="630" w:lineRule="exact"/>
        <w:jc w:val="center"/>
        <w:rPr>
          <w:rFonts w:ascii="黑体" w:hAnsi="黑体" w:eastAsia="黑体" w:cs="黑体"/>
          <w:b w:val="0"/>
          <w:bCs/>
          <w:color w:val="000000"/>
          <w:kern w:val="0"/>
          <w:sz w:val="32"/>
          <w:szCs w:val="32"/>
          <w:shd w:val="clear" w:color="auto" w:fill="auto"/>
        </w:rPr>
      </w:pPr>
      <w:bookmarkStart w:id="3" w:name="_Toc524965232"/>
      <w:bookmarkStart w:id="4" w:name="_Toc3115632"/>
      <w:bookmarkStart w:id="5" w:name="_Toc524558519"/>
      <w:r>
        <w:rPr>
          <w:rFonts w:hint="eastAsia" w:ascii="黑体" w:hAnsi="黑体" w:eastAsia="黑体" w:cs="黑体"/>
          <w:b w:val="0"/>
          <w:bCs/>
          <w:color w:val="000000"/>
          <w:kern w:val="0"/>
          <w:sz w:val="32"/>
          <w:szCs w:val="32"/>
          <w:shd w:val="clear" w:color="auto" w:fill="auto"/>
        </w:rPr>
        <w:t>第三章</w:t>
      </w:r>
      <w:r>
        <w:rPr>
          <w:rFonts w:hint="eastAsia" w:ascii="黑体" w:hAnsi="黑体" w:eastAsia="黑体" w:cs="黑体"/>
          <w:bCs/>
          <w:color w:val="000000"/>
          <w:kern w:val="0"/>
          <w:sz w:val="32"/>
          <w:szCs w:val="32"/>
        </w:rPr>
        <w:t xml:space="preserve"> </w:t>
      </w:r>
      <w:r>
        <w:rPr>
          <w:rFonts w:ascii="黑体" w:hAnsi="黑体" w:eastAsia="黑体" w:cs="黑体"/>
          <w:b w:val="0"/>
          <w:bCs/>
          <w:color w:val="000000"/>
          <w:kern w:val="0"/>
          <w:sz w:val="32"/>
          <w:szCs w:val="32"/>
          <w:shd w:val="clear" w:color="auto" w:fill="auto"/>
        </w:rPr>
        <w:t xml:space="preserve"> </w:t>
      </w:r>
      <w:bookmarkEnd w:id="3"/>
      <w:bookmarkEnd w:id="4"/>
      <w:bookmarkEnd w:id="5"/>
      <w:r>
        <w:rPr>
          <w:rFonts w:hint="eastAsia" w:ascii="黑体" w:hAnsi="黑体" w:eastAsia="黑体" w:cs="黑体"/>
          <w:b w:val="0"/>
          <w:bCs/>
          <w:color w:val="000000"/>
          <w:kern w:val="0"/>
          <w:sz w:val="32"/>
          <w:szCs w:val="32"/>
          <w:shd w:val="clear" w:color="auto" w:fill="auto"/>
        </w:rPr>
        <w:t>流</w:t>
      </w:r>
      <w:r>
        <w:rPr>
          <w:rFonts w:hint="eastAsia" w:ascii="黑体" w:hAnsi="黑体" w:eastAsia="黑体" w:cs="黑体"/>
          <w:bCs/>
          <w:color w:val="000000"/>
          <w:kern w:val="0"/>
          <w:sz w:val="32"/>
          <w:szCs w:val="32"/>
        </w:rPr>
        <w:t xml:space="preserve">  </w:t>
      </w:r>
      <w:r>
        <w:rPr>
          <w:rFonts w:hint="eastAsia" w:ascii="黑体" w:hAnsi="黑体" w:eastAsia="黑体" w:cs="黑体"/>
          <w:b w:val="0"/>
          <w:bCs/>
          <w:color w:val="000000"/>
          <w:kern w:val="0"/>
          <w:sz w:val="32"/>
          <w:szCs w:val="32"/>
          <w:shd w:val="clear" w:color="auto" w:fill="auto"/>
        </w:rPr>
        <w:t>程</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第八条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 xml:space="preserve"> 申报。根据申报条件（由文化和旅游部制定），由申报城市填写申报书，由省级文化和旅游行政部门报送文化和旅游部，提出参与评审申请。</w:t>
      </w:r>
    </w:p>
    <w:p>
      <w:pPr>
        <w:widowControl/>
        <w:tabs>
          <w:tab w:val="left" w:pos="1738"/>
        </w:tabs>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 xml:space="preserve">第九条 </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初审。文化和旅游部将组织专家委员会（由文化和旅游部相关司局领导、评审专家、特邀嘉宾组成），在满足以下</w:t>
      </w:r>
      <w:r>
        <w:rPr>
          <w:rFonts w:ascii="仿宋_GB2312" w:hAnsi="仿宋_GB2312" w:cs="仿宋_GB2312"/>
          <w:bCs/>
          <w:color w:val="000000"/>
          <w:kern w:val="0"/>
          <w:szCs w:val="32"/>
        </w:rPr>
        <w:t>2</w:t>
      </w:r>
      <w:r>
        <w:rPr>
          <w:rFonts w:hint="eastAsia" w:ascii="仿宋_GB2312" w:hAnsi="仿宋_GB2312" w:cs="仿宋_GB2312"/>
          <w:bCs/>
          <w:color w:val="000000"/>
          <w:kern w:val="0"/>
          <w:szCs w:val="32"/>
        </w:rPr>
        <w:t>个必要条件的基础上对申报城市的申报材料进行会议审查。文化和旅游部国际交流与合作局将以书面方式正式通知“东亚文化之都”候选城市入围结果。</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仿宋_GB2312" w:hAnsi="仿宋_GB2312" w:cs="仿宋_GB2312"/>
          <w:bCs/>
          <w:color w:val="000000"/>
          <w:kern w:val="0"/>
          <w:szCs w:val="32"/>
        </w:rPr>
        <w:t>（一）申报城市必须是历史文化名城；</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仿宋_GB2312" w:hAnsi="仿宋_GB2312" w:cs="仿宋_GB2312"/>
          <w:bCs/>
          <w:color w:val="000000"/>
          <w:kern w:val="0"/>
          <w:szCs w:val="32"/>
        </w:rPr>
        <w:t>（二）申报城市在近三年内无重大文物违法案件和安全责任事故、无重大负面文化或旅游舆情。</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第十条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 xml:space="preserve"> 创建。文化和旅游部将指导候选城市的创建工作，并进行持续观察、评估、督导。候选城市依据《“东亚文化之都”申报条件和验收评分导则》制定创建方案，开展创建工作。通过一定时间的创建期并自查达标后可向省级文化和旅游行政部门提出“东亚文化之都”的验收申请。</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 xml:space="preserve">第十一条  </w:t>
      </w:r>
      <w:r>
        <w:rPr>
          <w:rFonts w:hint="eastAsia" w:ascii="仿宋_GB2312" w:hAnsi="仿宋_GB2312" w:cs="仿宋_GB2312"/>
          <w:bCs/>
          <w:color w:val="000000"/>
          <w:kern w:val="0"/>
          <w:szCs w:val="32"/>
        </w:rPr>
        <w:t>验收。</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仿宋_GB2312" w:hAnsi="仿宋_GB2312" w:cs="仿宋_GB2312"/>
          <w:bCs/>
          <w:color w:val="000000"/>
          <w:kern w:val="0"/>
          <w:szCs w:val="32"/>
        </w:rPr>
        <w:t>（一）省级验收。省级文化和旅游行政部门负责对候选城市组织省级验收，形成省级验收报告。省级文化和旅游行政部门负责向文化和旅游部提交候选城市验收报告。</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仿宋_GB2312" w:hAnsi="仿宋_GB2312" w:cs="仿宋_GB2312"/>
          <w:bCs/>
          <w:color w:val="000000"/>
          <w:kern w:val="0"/>
          <w:szCs w:val="32"/>
        </w:rPr>
        <w:t>（二）文化和旅游部验收。文化和旅游部根据省级验收情况，采取暗访和终审答辩的方式启动候选城市验收工作。</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ascii="仿宋_GB2312" w:hAnsi="仿宋_GB2312" w:cs="仿宋_GB2312"/>
          <w:bCs/>
          <w:color w:val="000000"/>
          <w:kern w:val="0"/>
          <w:szCs w:val="32"/>
        </w:rPr>
        <w:t>1.</w:t>
      </w:r>
      <w:r>
        <w:rPr>
          <w:rFonts w:hint="eastAsia" w:ascii="仿宋_GB2312" w:hAnsi="仿宋_GB2312" w:cs="仿宋_GB2312"/>
          <w:bCs/>
          <w:color w:val="000000"/>
          <w:kern w:val="0"/>
          <w:szCs w:val="32"/>
        </w:rPr>
        <w:t>暗访。文化和旅游部根据工作需要委托专家委员会进行现场检查，重点对候选城市的文化和旅游资源禀赋、文化保护与传承、公共文化设施与服务、文化和旅游产业、文化旅游融合、实施保障等内容进行检查。</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ascii="仿宋_GB2312" w:hAnsi="仿宋_GB2312" w:cs="仿宋_GB2312"/>
          <w:bCs/>
          <w:color w:val="000000"/>
          <w:kern w:val="0"/>
          <w:szCs w:val="32"/>
        </w:rPr>
        <w:t>2.</w:t>
      </w:r>
      <w:r>
        <w:rPr>
          <w:rFonts w:hint="eastAsia" w:ascii="仿宋_GB2312" w:hAnsi="仿宋_GB2312" w:cs="仿宋_GB2312"/>
          <w:bCs/>
          <w:color w:val="000000"/>
          <w:kern w:val="0"/>
          <w:szCs w:val="32"/>
        </w:rPr>
        <w:t>终审答辩。文化和旅游部组织专家委员会终审答辩，并形成专家意见。</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仿宋_GB2312" w:hAnsi="仿宋_GB2312" w:cs="仿宋_GB2312"/>
          <w:bCs/>
          <w:color w:val="000000"/>
          <w:kern w:val="0"/>
          <w:szCs w:val="32"/>
        </w:rPr>
        <w:t>（三）验收评分导则由文化和旅游部制定。省级验收、文化和旅游部验收工作按照验收评分导则进行。</w:t>
      </w:r>
    </w:p>
    <w:p>
      <w:pPr>
        <w:pStyle w:val="4"/>
        <w:adjustRightInd w:val="0"/>
        <w:snapToGrid w:val="0"/>
        <w:spacing w:line="630" w:lineRule="exact"/>
        <w:ind w:firstLine="562"/>
        <w:rPr>
          <w:rFonts w:hAnsi="宋体" w:cs="宋体"/>
          <w:b w:val="0"/>
          <w:bCs/>
          <w:color w:val="000000"/>
          <w:kern w:val="0"/>
          <w:sz w:val="28"/>
          <w:szCs w:val="28"/>
          <w:shd w:val="clear" w:color="auto" w:fill="auto"/>
        </w:rPr>
      </w:pPr>
      <w:bookmarkStart w:id="6" w:name="_Toc524558520"/>
      <w:bookmarkStart w:id="7" w:name="_Toc3115633"/>
      <w:bookmarkStart w:id="8" w:name="_Toc524965233"/>
    </w:p>
    <w:p>
      <w:pPr>
        <w:pStyle w:val="4"/>
        <w:adjustRightInd w:val="0"/>
        <w:snapToGrid w:val="0"/>
        <w:spacing w:line="630" w:lineRule="exact"/>
        <w:jc w:val="center"/>
        <w:rPr>
          <w:rFonts w:ascii="黑体" w:hAnsi="黑体" w:eastAsia="黑体" w:cs="黑体"/>
          <w:b w:val="0"/>
          <w:bCs/>
          <w:color w:val="000000"/>
          <w:kern w:val="0"/>
          <w:sz w:val="32"/>
          <w:szCs w:val="32"/>
          <w:shd w:val="clear" w:color="auto" w:fill="auto"/>
        </w:rPr>
      </w:pPr>
      <w:r>
        <w:rPr>
          <w:rFonts w:hint="eastAsia" w:ascii="黑体" w:hAnsi="黑体" w:eastAsia="黑体" w:cs="黑体"/>
          <w:b w:val="0"/>
          <w:bCs/>
          <w:color w:val="000000"/>
          <w:kern w:val="0"/>
          <w:sz w:val="32"/>
          <w:szCs w:val="32"/>
          <w:shd w:val="clear" w:color="auto" w:fill="auto"/>
        </w:rPr>
        <w:t>第四章</w:t>
      </w:r>
      <w:r>
        <w:rPr>
          <w:rFonts w:ascii="黑体" w:hAnsi="黑体" w:eastAsia="黑体" w:cs="黑体"/>
          <w:b w:val="0"/>
          <w:bCs/>
          <w:color w:val="000000"/>
          <w:kern w:val="0"/>
          <w:sz w:val="32"/>
          <w:szCs w:val="32"/>
          <w:shd w:val="clear" w:color="auto" w:fill="auto"/>
        </w:rPr>
        <w:t xml:space="preserve">  </w:t>
      </w:r>
      <w:r>
        <w:rPr>
          <w:rFonts w:hint="eastAsia" w:ascii="黑体" w:hAnsi="黑体" w:eastAsia="黑体" w:cs="黑体"/>
          <w:b w:val="0"/>
          <w:bCs/>
          <w:color w:val="000000"/>
          <w:kern w:val="0"/>
          <w:sz w:val="32"/>
          <w:szCs w:val="32"/>
          <w:shd w:val="clear" w:color="auto" w:fill="auto"/>
        </w:rPr>
        <w:t>认</w:t>
      </w:r>
      <w:r>
        <w:rPr>
          <w:rFonts w:hint="eastAsia" w:ascii="黑体" w:hAnsi="黑体" w:eastAsia="黑体" w:cs="黑体"/>
          <w:bCs/>
          <w:color w:val="000000"/>
          <w:kern w:val="0"/>
          <w:sz w:val="32"/>
          <w:szCs w:val="32"/>
        </w:rPr>
        <w:t xml:space="preserve">  </w:t>
      </w:r>
      <w:r>
        <w:rPr>
          <w:rFonts w:hint="eastAsia" w:ascii="黑体" w:hAnsi="黑体" w:eastAsia="黑体" w:cs="黑体"/>
          <w:b w:val="0"/>
          <w:bCs/>
          <w:color w:val="000000"/>
          <w:kern w:val="0"/>
          <w:sz w:val="32"/>
          <w:szCs w:val="32"/>
          <w:shd w:val="clear" w:color="auto" w:fill="auto"/>
        </w:rPr>
        <w:t>定</w:t>
      </w:r>
      <w:bookmarkEnd w:id="6"/>
      <w:bookmarkEnd w:id="7"/>
      <w:bookmarkEnd w:id="8"/>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 xml:space="preserve">第十二条 </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报批。根据专家委员会的评审意见结果履行报部审批程序，最终确定</w:t>
      </w:r>
      <w:r>
        <w:rPr>
          <w:rFonts w:ascii="仿宋_GB2312" w:hAnsi="仿宋_GB2312" w:cs="仿宋_GB2312"/>
          <w:bCs/>
          <w:color w:val="000000"/>
          <w:kern w:val="0"/>
          <w:szCs w:val="32"/>
        </w:rPr>
        <w:t>1</w:t>
      </w:r>
      <w:r>
        <w:rPr>
          <w:rFonts w:hint="eastAsia" w:ascii="仿宋_GB2312" w:hAnsi="仿宋_GB2312" w:cs="仿宋_GB2312"/>
          <w:bCs/>
          <w:color w:val="000000"/>
          <w:kern w:val="0"/>
          <w:szCs w:val="32"/>
        </w:rPr>
        <w:t>个“东亚文化之都”当选城市。中日韩</w:t>
      </w:r>
      <w:r>
        <w:rPr>
          <w:rFonts w:ascii="仿宋_GB2312" w:hAnsi="仿宋_GB2312" w:cs="仿宋_GB2312"/>
          <w:bCs/>
          <w:color w:val="000000"/>
          <w:kern w:val="0"/>
          <w:szCs w:val="32"/>
        </w:rPr>
        <w:t>3</w:t>
      </w:r>
      <w:r>
        <w:rPr>
          <w:rFonts w:hint="eastAsia" w:ascii="仿宋_GB2312" w:hAnsi="仿宋_GB2312" w:cs="仿宋_GB2312"/>
          <w:bCs/>
          <w:color w:val="000000"/>
          <w:kern w:val="0"/>
          <w:szCs w:val="32"/>
        </w:rPr>
        <w:t>国</w:t>
      </w:r>
      <w:r>
        <w:rPr>
          <w:rFonts w:ascii="仿宋_GB2312" w:hAnsi="仿宋_GB2312" w:cs="仿宋_GB2312"/>
          <w:bCs/>
          <w:color w:val="000000"/>
          <w:kern w:val="0"/>
          <w:szCs w:val="32"/>
        </w:rPr>
        <w:t>3</w:t>
      </w:r>
      <w:r>
        <w:rPr>
          <w:rFonts w:hint="eastAsia" w:ascii="仿宋_GB2312" w:hAnsi="仿宋_GB2312" w:cs="仿宋_GB2312"/>
          <w:bCs/>
          <w:color w:val="000000"/>
          <w:kern w:val="0"/>
          <w:szCs w:val="32"/>
        </w:rPr>
        <w:t>个“东亚文化之都”当选城市在评选当年举办的中日韩文化部长会议上对外宣布。</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第十三条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 xml:space="preserve"> 当选城市在当选年一年期间，以“东亚文化之都”名义开展形式多样的文化活动。</w:t>
      </w:r>
      <w:r>
        <w:rPr>
          <w:rFonts w:hint="eastAsia" w:ascii="仿宋_GB2312"/>
          <w:bCs/>
          <w:color w:val="000000"/>
          <w:szCs w:val="32"/>
        </w:rPr>
        <w:t>“</w:t>
      </w:r>
      <w:r>
        <w:rPr>
          <w:rFonts w:hint="eastAsia" w:ascii="仿宋_GB2312" w:hAnsi="仿宋_GB2312" w:cs="仿宋_GB2312"/>
          <w:bCs/>
          <w:color w:val="000000"/>
          <w:kern w:val="0"/>
          <w:szCs w:val="32"/>
        </w:rPr>
        <w:t>东亚</w:t>
      </w:r>
      <w:r>
        <w:rPr>
          <w:rFonts w:hint="eastAsia" w:ascii="仿宋_GB2312"/>
          <w:bCs/>
          <w:color w:val="000000"/>
          <w:szCs w:val="32"/>
        </w:rPr>
        <w:t>文</w:t>
      </w:r>
      <w:r>
        <w:rPr>
          <w:rFonts w:hint="eastAsia" w:ascii="仿宋_GB2312" w:hAnsi="仿宋_GB2312" w:cs="仿宋_GB2312"/>
          <w:bCs/>
          <w:color w:val="000000"/>
          <w:kern w:val="0"/>
          <w:szCs w:val="32"/>
        </w:rPr>
        <w:t>化之</w:t>
      </w:r>
      <w:r>
        <w:rPr>
          <w:rFonts w:hint="eastAsia" w:ascii="仿宋_GB2312"/>
          <w:bCs/>
          <w:color w:val="000000"/>
          <w:szCs w:val="32"/>
        </w:rPr>
        <w:t>都”当选城市可优先参与国家级对外文化和旅游交流工作，可优先参与国家入境旅游市场开发、海外旅游推广重点项目，可优先参与国家旅游景区建设和评定，可参与推荐“一带一路”文化产业和旅游产业国际合作重点项目，可推荐参评“全国优选文化和旅游投融资项目”</w:t>
      </w:r>
      <w:r>
        <w:rPr>
          <w:rFonts w:hint="eastAsia" w:ascii="仿宋_GB2312" w:hAnsi="仿宋_GB2312" w:cs="仿宋_GB2312"/>
          <w:bCs/>
          <w:color w:val="000000"/>
          <w:kern w:val="0"/>
          <w:szCs w:val="32"/>
        </w:rPr>
        <w:t>。</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第十四条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 xml:space="preserve"> 未通过文化和旅游部验收的候选城市，根据文化和旅游部反馈的意见制定整改方案，落实整改措施的可继续保留候选城市资格。</w:t>
      </w:r>
    </w:p>
    <w:p>
      <w:pPr>
        <w:pStyle w:val="4"/>
        <w:adjustRightInd w:val="0"/>
        <w:snapToGrid w:val="0"/>
        <w:spacing w:line="630" w:lineRule="exact"/>
        <w:ind w:firstLine="562"/>
        <w:rPr>
          <w:rFonts w:hAnsi="宋体" w:cs="宋体"/>
          <w:b w:val="0"/>
          <w:bCs/>
          <w:color w:val="000000"/>
          <w:kern w:val="0"/>
          <w:sz w:val="28"/>
          <w:szCs w:val="28"/>
          <w:shd w:val="clear" w:color="auto" w:fill="auto"/>
        </w:rPr>
      </w:pPr>
    </w:p>
    <w:p>
      <w:pPr>
        <w:pStyle w:val="4"/>
        <w:adjustRightInd w:val="0"/>
        <w:snapToGrid w:val="0"/>
        <w:spacing w:line="630" w:lineRule="exact"/>
        <w:jc w:val="center"/>
        <w:rPr>
          <w:rFonts w:ascii="黑体" w:hAnsi="黑体" w:eastAsia="黑体" w:cs="黑体"/>
          <w:b w:val="0"/>
          <w:bCs/>
          <w:color w:val="000000"/>
          <w:kern w:val="0"/>
          <w:sz w:val="32"/>
          <w:szCs w:val="32"/>
          <w:shd w:val="clear" w:color="auto" w:fill="auto"/>
        </w:rPr>
      </w:pPr>
      <w:r>
        <w:rPr>
          <w:rFonts w:hint="eastAsia" w:ascii="黑体" w:hAnsi="黑体" w:eastAsia="黑体" w:cs="黑体"/>
          <w:b w:val="0"/>
          <w:bCs/>
          <w:color w:val="000000"/>
          <w:kern w:val="0"/>
          <w:sz w:val="32"/>
          <w:szCs w:val="32"/>
          <w:shd w:val="clear" w:color="auto" w:fill="auto"/>
        </w:rPr>
        <w:t>第五章</w:t>
      </w:r>
      <w:r>
        <w:rPr>
          <w:rFonts w:ascii="黑体" w:hAnsi="黑体" w:eastAsia="黑体" w:cs="黑体"/>
          <w:b w:val="0"/>
          <w:bCs/>
          <w:color w:val="000000"/>
          <w:kern w:val="0"/>
          <w:sz w:val="32"/>
          <w:szCs w:val="32"/>
          <w:shd w:val="clear" w:color="auto" w:fill="auto"/>
        </w:rPr>
        <w:t xml:space="preserve"> </w:t>
      </w:r>
      <w:r>
        <w:rPr>
          <w:rFonts w:hint="eastAsia" w:ascii="黑体" w:hAnsi="黑体" w:eastAsia="黑体" w:cs="黑体"/>
          <w:bCs/>
          <w:color w:val="000000"/>
          <w:kern w:val="0"/>
          <w:sz w:val="32"/>
          <w:szCs w:val="32"/>
        </w:rPr>
        <w:t xml:space="preserve"> </w:t>
      </w:r>
      <w:r>
        <w:rPr>
          <w:rFonts w:hint="eastAsia" w:ascii="黑体" w:hAnsi="黑体" w:eastAsia="黑体" w:cs="黑体"/>
          <w:b w:val="0"/>
          <w:bCs/>
          <w:color w:val="000000"/>
          <w:kern w:val="0"/>
          <w:sz w:val="32"/>
          <w:szCs w:val="32"/>
          <w:shd w:val="clear" w:color="auto" w:fill="auto"/>
        </w:rPr>
        <w:t>监督管理</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第十五条</w:t>
      </w:r>
      <w:r>
        <w:rPr>
          <w:rFonts w:ascii="黑体" w:hAnsi="仿宋_GB2312" w:eastAsia="黑体" w:cs="仿宋_GB2312"/>
          <w:bCs/>
          <w:color w:val="000000"/>
          <w:kern w:val="0"/>
          <w:szCs w:val="32"/>
        </w:rPr>
        <w:t xml:space="preserve"> </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文化和旅游部建立动态管理机制，统筹“东亚文化之都”的复核工作，原则上每</w:t>
      </w:r>
      <w:r>
        <w:rPr>
          <w:rFonts w:ascii="仿宋_GB2312" w:hAnsi="仿宋_GB2312" w:cs="仿宋_GB2312"/>
          <w:bCs/>
          <w:color w:val="000000"/>
          <w:kern w:val="0"/>
          <w:szCs w:val="32"/>
        </w:rPr>
        <w:t>3</w:t>
      </w:r>
      <w:r>
        <w:rPr>
          <w:rFonts w:hint="eastAsia" w:ascii="仿宋_GB2312" w:hAnsi="仿宋_GB2312" w:cs="仿宋_GB2312"/>
          <w:bCs/>
          <w:color w:val="000000"/>
          <w:kern w:val="0"/>
          <w:szCs w:val="32"/>
        </w:rPr>
        <w:t>至</w:t>
      </w:r>
      <w:r>
        <w:rPr>
          <w:rFonts w:ascii="仿宋_GB2312" w:hAnsi="仿宋_GB2312" w:cs="仿宋_GB2312"/>
          <w:bCs/>
          <w:color w:val="000000"/>
          <w:kern w:val="0"/>
          <w:szCs w:val="32"/>
        </w:rPr>
        <w:t>5</w:t>
      </w:r>
      <w:r>
        <w:rPr>
          <w:rFonts w:hint="eastAsia" w:ascii="仿宋_GB2312" w:hAnsi="仿宋_GB2312" w:cs="仿宋_GB2312"/>
          <w:bCs/>
          <w:color w:val="000000"/>
          <w:kern w:val="0"/>
          <w:szCs w:val="32"/>
        </w:rPr>
        <w:t>年以抽查的方式完成“东亚文化之都”的复核工作。省级文化和旅游行政部门对所辖区内已命名的“东亚文化之都”要进行日常检查，并参与复核工作。</w:t>
      </w:r>
    </w:p>
    <w:p>
      <w:pPr>
        <w:widowControl/>
        <w:adjustRightInd w:val="0"/>
        <w:snapToGrid w:val="0"/>
        <w:spacing w:line="630" w:lineRule="exact"/>
        <w:ind w:firstLine="640" w:firstLineChars="200"/>
        <w:rPr>
          <w:rFonts w:ascii="仿宋_GB2312" w:hAnsi="仿宋_GB2312" w:cs="仿宋_GB2312"/>
          <w:bCs/>
          <w:color w:val="000000"/>
          <w:kern w:val="0"/>
          <w:szCs w:val="32"/>
        </w:rPr>
      </w:pPr>
      <w:r>
        <w:rPr>
          <w:rFonts w:hint="eastAsia" w:ascii="黑体" w:hAnsi="仿宋_GB2312" w:eastAsia="黑体" w:cs="仿宋_GB2312"/>
          <w:bCs/>
          <w:color w:val="000000"/>
          <w:kern w:val="0"/>
          <w:szCs w:val="32"/>
        </w:rPr>
        <w:t>第十六条</w:t>
      </w:r>
      <w:r>
        <w:rPr>
          <w:rFonts w:ascii="仿宋_GB2312" w:hAnsi="仿宋_GB2312" w:cs="仿宋_GB2312"/>
          <w:bCs/>
          <w:color w:val="000000"/>
          <w:kern w:val="0"/>
          <w:szCs w:val="32"/>
        </w:rPr>
        <w:t xml:space="preserve">  </w:t>
      </w:r>
      <w:r>
        <w:rPr>
          <w:rFonts w:hint="eastAsia" w:ascii="仿宋_GB2312" w:hAnsi="仿宋_GB2312" w:cs="仿宋_GB2312"/>
          <w:bCs/>
          <w:color w:val="000000"/>
          <w:kern w:val="0"/>
          <w:szCs w:val="32"/>
        </w:rPr>
        <w:t>文化和旅游部对已当选城市如出现</w:t>
      </w:r>
      <w:r>
        <w:rPr>
          <w:rFonts w:hint="eastAsia" w:ascii="仿宋_GB2312" w:hAnsi="仿宋_GB2312" w:cs="仿宋_GB2312"/>
          <w:bCs/>
          <w:color w:val="000000"/>
          <w:szCs w:val="32"/>
        </w:rPr>
        <w:t>复核不达标或发生重大文化旅游违规违法案件、</w:t>
      </w:r>
      <w:r>
        <w:rPr>
          <w:rFonts w:hint="eastAsia" w:ascii="仿宋_GB2312" w:hAnsi="仿宋_GB2312" w:cs="仿宋_GB2312"/>
          <w:bCs/>
          <w:color w:val="000000"/>
          <w:kern w:val="0"/>
          <w:szCs w:val="32"/>
        </w:rPr>
        <w:t>重大文物违法案件和安全责任事故</w:t>
      </w:r>
      <w:r>
        <w:rPr>
          <w:rFonts w:hint="eastAsia" w:ascii="仿宋_GB2312" w:hAnsi="仿宋_GB2312" w:cs="仿宋_GB2312"/>
          <w:bCs/>
          <w:color w:val="000000"/>
          <w:szCs w:val="32"/>
        </w:rPr>
        <w:t>、重大文化旅游安全事故、严重损害消费者权益事件、因相关问题受到中央和国家机关部委通报批评、严重破坏生态环境行为和严重负面舆论事件</w:t>
      </w:r>
      <w:r>
        <w:rPr>
          <w:rFonts w:hint="eastAsia" w:ascii="仿宋_GB2312" w:hAnsi="仿宋_GB2312" w:cs="仿宋_GB2312"/>
          <w:bCs/>
          <w:color w:val="000000"/>
          <w:kern w:val="0"/>
          <w:szCs w:val="32"/>
        </w:rPr>
        <w:t>的“东亚文化之都”，视问题的严重程度，予以黄牌警告、红牌警告或撤销命名处理。</w:t>
      </w:r>
    </w:p>
    <w:p>
      <w:pPr>
        <w:widowControl/>
        <w:adjustRightInd w:val="0"/>
        <w:snapToGrid w:val="0"/>
        <w:spacing w:line="630" w:lineRule="exact"/>
        <w:ind w:firstLine="560" w:firstLineChars="200"/>
        <w:rPr>
          <w:rFonts w:ascii="宋体" w:cs="宋体"/>
          <w:bCs/>
          <w:color w:val="000000"/>
          <w:kern w:val="0"/>
          <w:sz w:val="28"/>
          <w:szCs w:val="28"/>
        </w:rPr>
      </w:pPr>
    </w:p>
    <w:p>
      <w:pPr>
        <w:pStyle w:val="4"/>
        <w:adjustRightInd w:val="0"/>
        <w:snapToGrid w:val="0"/>
        <w:spacing w:line="630" w:lineRule="exact"/>
        <w:jc w:val="center"/>
        <w:rPr>
          <w:rFonts w:ascii="黑体" w:hAnsi="黑体" w:eastAsia="黑体" w:cs="黑体"/>
          <w:b w:val="0"/>
          <w:bCs/>
          <w:color w:val="000000"/>
          <w:kern w:val="0"/>
          <w:sz w:val="32"/>
          <w:szCs w:val="32"/>
          <w:shd w:val="clear" w:color="auto" w:fill="auto"/>
        </w:rPr>
      </w:pPr>
      <w:bookmarkStart w:id="9" w:name="_Toc3115634"/>
      <w:bookmarkStart w:id="10" w:name="_Toc524558521"/>
      <w:bookmarkStart w:id="11" w:name="_Toc524965234"/>
      <w:r>
        <w:rPr>
          <w:rFonts w:hint="eastAsia" w:ascii="黑体" w:hAnsi="黑体" w:eastAsia="黑体" w:cs="黑体"/>
          <w:b w:val="0"/>
          <w:bCs/>
          <w:color w:val="000000"/>
          <w:kern w:val="0"/>
          <w:sz w:val="32"/>
          <w:szCs w:val="32"/>
          <w:shd w:val="clear" w:color="auto" w:fill="auto"/>
        </w:rPr>
        <w:t>第六章</w:t>
      </w:r>
      <w:r>
        <w:rPr>
          <w:rFonts w:ascii="黑体" w:hAnsi="黑体" w:eastAsia="黑体" w:cs="黑体"/>
          <w:b w:val="0"/>
          <w:bCs/>
          <w:color w:val="000000"/>
          <w:kern w:val="0"/>
          <w:sz w:val="32"/>
          <w:szCs w:val="32"/>
          <w:shd w:val="clear" w:color="auto" w:fill="auto"/>
        </w:rPr>
        <w:t xml:space="preserve">  </w:t>
      </w:r>
      <w:r>
        <w:rPr>
          <w:rFonts w:hint="eastAsia" w:ascii="黑体" w:hAnsi="黑体" w:eastAsia="黑体" w:cs="黑体"/>
          <w:b w:val="0"/>
          <w:bCs/>
          <w:color w:val="000000"/>
          <w:kern w:val="0"/>
          <w:sz w:val="32"/>
          <w:szCs w:val="32"/>
          <w:shd w:val="clear" w:color="auto" w:fill="auto"/>
        </w:rPr>
        <w:t>附</w:t>
      </w:r>
      <w:r>
        <w:rPr>
          <w:rFonts w:hint="eastAsia" w:ascii="黑体" w:hAnsi="黑体" w:eastAsia="黑体" w:cs="黑体"/>
          <w:bCs/>
          <w:color w:val="000000"/>
          <w:kern w:val="0"/>
          <w:sz w:val="32"/>
          <w:szCs w:val="32"/>
        </w:rPr>
        <w:t xml:space="preserve">  </w:t>
      </w:r>
      <w:r>
        <w:rPr>
          <w:rFonts w:hint="eastAsia" w:ascii="黑体" w:hAnsi="黑体" w:eastAsia="黑体" w:cs="黑体"/>
          <w:b w:val="0"/>
          <w:bCs/>
          <w:color w:val="000000"/>
          <w:kern w:val="0"/>
          <w:sz w:val="32"/>
          <w:szCs w:val="32"/>
          <w:shd w:val="clear" w:color="auto" w:fill="auto"/>
        </w:rPr>
        <w:t>则</w:t>
      </w:r>
      <w:bookmarkEnd w:id="9"/>
      <w:bookmarkEnd w:id="10"/>
      <w:bookmarkEnd w:id="11"/>
    </w:p>
    <w:p>
      <w:pPr>
        <w:widowControl/>
        <w:adjustRightInd w:val="0"/>
        <w:snapToGrid w:val="0"/>
        <w:spacing w:line="630" w:lineRule="exact"/>
        <w:ind w:firstLine="640" w:firstLineChars="200"/>
        <w:rPr>
          <w:rFonts w:ascii="仿宋_GB2312" w:hAnsi="仿宋_GB2312" w:cs="仿宋_GB2312"/>
          <w:color w:val="000000"/>
          <w:kern w:val="0"/>
          <w:szCs w:val="32"/>
        </w:rPr>
      </w:pPr>
      <w:r>
        <w:rPr>
          <w:rFonts w:hint="eastAsia" w:ascii="黑体" w:hAnsi="仿宋_GB2312" w:eastAsia="黑体" w:cs="仿宋_GB2312"/>
          <w:bCs/>
          <w:color w:val="000000"/>
          <w:kern w:val="0"/>
          <w:szCs w:val="32"/>
        </w:rPr>
        <w:t>第十七条</w:t>
      </w:r>
      <w:r>
        <w:rPr>
          <w:rFonts w:ascii="仿宋_GB2312" w:hAnsi="仿宋_GB2312" w:cs="仿宋_GB2312"/>
          <w:color w:val="000000"/>
          <w:kern w:val="0"/>
          <w:szCs w:val="32"/>
        </w:rPr>
        <w:t xml:space="preserve">  </w:t>
      </w:r>
      <w:r>
        <w:rPr>
          <w:rFonts w:hint="eastAsia" w:ascii="仿宋_GB2312" w:hAnsi="仿宋_GB2312" w:cs="仿宋_GB2312"/>
          <w:color w:val="000000"/>
          <w:kern w:val="0"/>
          <w:szCs w:val="32"/>
        </w:rPr>
        <w:t>本办法由文化和旅游部负责解释。各省、自治区、直辖市，新疆生产建设兵团可参照此办法，制定符合本地实际的“东亚文化之都”工作管理相关规定。</w:t>
      </w:r>
    </w:p>
    <w:p>
      <w:pPr>
        <w:widowControl/>
        <w:adjustRightInd w:val="0"/>
        <w:snapToGrid w:val="0"/>
        <w:spacing w:line="630" w:lineRule="exact"/>
        <w:ind w:firstLine="640" w:firstLineChars="200"/>
        <w:rPr>
          <w:b/>
          <w:color w:val="000000"/>
          <w:sz w:val="28"/>
          <w:szCs w:val="28"/>
        </w:rPr>
      </w:pPr>
      <w:r>
        <w:rPr>
          <w:rFonts w:hint="eastAsia" w:ascii="黑体" w:hAnsi="仿宋_GB2312" w:eastAsia="黑体" w:cs="仿宋_GB2312"/>
          <w:bCs/>
          <w:color w:val="000000"/>
          <w:kern w:val="0"/>
          <w:szCs w:val="32"/>
        </w:rPr>
        <w:t>第十八条</w:t>
      </w:r>
      <w:r>
        <w:rPr>
          <w:rFonts w:ascii="黑体" w:hAnsi="仿宋_GB2312" w:eastAsia="黑体" w:cs="仿宋_GB2312"/>
          <w:bCs/>
          <w:color w:val="000000"/>
          <w:kern w:val="0"/>
          <w:szCs w:val="32"/>
        </w:rPr>
        <w:t xml:space="preserve"> </w:t>
      </w:r>
      <w:r>
        <w:rPr>
          <w:rFonts w:ascii="仿宋_GB2312" w:hAnsi="仿宋_GB2312" w:cs="仿宋_GB2312"/>
          <w:color w:val="000000"/>
          <w:kern w:val="0"/>
          <w:szCs w:val="32"/>
        </w:rPr>
        <w:t xml:space="preserve"> </w:t>
      </w:r>
      <w:r>
        <w:rPr>
          <w:rFonts w:hint="eastAsia" w:ascii="仿宋_GB2312" w:hAnsi="仿宋_GB2312" w:cs="仿宋_GB2312"/>
          <w:color w:val="000000"/>
          <w:kern w:val="0"/>
          <w:szCs w:val="32"/>
        </w:rPr>
        <w:t>本办法自发布之日起施行。</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3017F"/>
    <w:rsid w:val="3C846FEF"/>
    <w:rsid w:val="66430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lain Text1"/>
    <w:basedOn w:val="1"/>
    <w:qFormat/>
    <w:uiPriority w:val="0"/>
    <w:rPr>
      <w:rFonts w:ascii="宋体" w:hAnsi="Courier New" w:eastAsia="宋体"/>
      <w:sz w:val="21"/>
    </w:rPr>
  </w:style>
  <w:style w:type="character" w:customStyle="1" w:styleId="5">
    <w:name w:val="fontstyle01"/>
    <w:qFormat/>
    <w:uiPriority w:val="0"/>
    <w:rPr>
      <w:rFonts w:ascii="宋体" w:hAnsi="宋体" w:eastAsia="宋体"/>
      <w:color w:val="000000"/>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2019-04-30T09:14:00Z</dcterms:created>
  <dc:creator>User</dc:creator>
  <cp:lastModifiedBy>User</cp:lastModifiedBy>
  <dcterms:modified xsi:type="dcterms:W3CDTF">2019-04-30T09:19:54Z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