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第二届“一带一路”与文化发展创新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学术研讨会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邀 请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512" w:rightChars="-244"/>
        <w:textAlignment w:val="auto"/>
        <w:outlineLvl w:val="9"/>
        <w:rPr>
          <w:rFonts w:hint="eastAsia" w:ascii="宋体" w:hAnsi="宋体" w:cs="宋体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textAlignment w:val="auto"/>
        <w:outlineLvl w:val="9"/>
        <w:rPr>
          <w:rFonts w:hint="eastAsia" w:ascii="宋体" w:hAnsi="宋体" w:cs="宋体"/>
          <w:b/>
          <w:sz w:val="24"/>
          <w:szCs w:val="24"/>
          <w:u w:val="none"/>
        </w:rPr>
      </w:pPr>
      <w:r>
        <w:rPr>
          <w:rFonts w:hint="eastAsia" w:ascii="宋体" w:hAnsi="宋体" w:cs="宋体"/>
          <w:b/>
          <w:sz w:val="24"/>
          <w:szCs w:val="24"/>
          <w:u w:val="none"/>
        </w:rPr>
        <w:t>尊敬的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学者、专家、企业家、文化工作者</w:t>
      </w:r>
      <w:r>
        <w:rPr>
          <w:rFonts w:hint="eastAsia" w:ascii="宋体" w:hAnsi="宋体" w:cs="宋体"/>
          <w:b/>
          <w:sz w:val="24"/>
          <w:szCs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12" w:rightChars="-244" w:firstLine="480" w:firstLineChars="200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您 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2" w:rightChars="-44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“一带一路”</w:t>
      </w:r>
      <w:r>
        <w:rPr>
          <w:rFonts w:hint="eastAsia"/>
          <w:sz w:val="24"/>
          <w:szCs w:val="24"/>
          <w:lang w:val="en-US" w:eastAsia="zh-CN"/>
        </w:rPr>
        <w:t>是文化融合发展创新之路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是增进文化自信、实现中国特色社会主义文化繁荣发展之路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为加快以“文化先行”方式促进</w:t>
      </w:r>
      <w:r>
        <w:rPr>
          <w:rFonts w:hint="eastAsia"/>
          <w:sz w:val="24"/>
          <w:szCs w:val="24"/>
        </w:rPr>
        <w:t>“一带一路”</w:t>
      </w:r>
      <w:r>
        <w:rPr>
          <w:rFonts w:hint="eastAsia"/>
          <w:sz w:val="24"/>
          <w:szCs w:val="24"/>
          <w:lang w:val="en-US" w:eastAsia="zh-CN"/>
        </w:rPr>
        <w:t>的建设进程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夯实</w:t>
      </w:r>
      <w:r>
        <w:rPr>
          <w:rFonts w:hint="eastAsia"/>
          <w:sz w:val="24"/>
          <w:szCs w:val="24"/>
        </w:rPr>
        <w:t>深化</w:t>
      </w:r>
      <w:r>
        <w:rPr>
          <w:rFonts w:hint="eastAsia"/>
          <w:sz w:val="24"/>
          <w:szCs w:val="24"/>
          <w:lang w:val="en-US" w:eastAsia="zh-CN"/>
        </w:rPr>
        <w:t>相关各方</w:t>
      </w:r>
      <w:r>
        <w:rPr>
          <w:rFonts w:hint="eastAsia"/>
          <w:sz w:val="24"/>
          <w:szCs w:val="24"/>
        </w:rPr>
        <w:t>的文化交流与合作，促进</w:t>
      </w:r>
      <w:r>
        <w:rPr>
          <w:rFonts w:hint="eastAsia"/>
          <w:sz w:val="24"/>
          <w:szCs w:val="24"/>
          <w:lang w:val="en-US" w:eastAsia="zh-CN"/>
        </w:rPr>
        <w:t>跨国跨</w:t>
      </w:r>
      <w:r>
        <w:rPr>
          <w:rFonts w:hint="eastAsia"/>
          <w:sz w:val="24"/>
          <w:szCs w:val="24"/>
        </w:rPr>
        <w:t>区域合作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实现</w:t>
      </w:r>
      <w:r>
        <w:rPr>
          <w:rFonts w:hint="eastAsia"/>
          <w:sz w:val="24"/>
          <w:szCs w:val="24"/>
          <w:lang w:val="en-US" w:eastAsia="zh-CN"/>
        </w:rPr>
        <w:t>共建共享，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2018年</w:t>
      </w:r>
      <w:r>
        <w:rPr>
          <w:rFonts w:hint="eastAsia" w:ascii="宋体" w:hAnsi="宋体" w:cs="宋体"/>
          <w:sz w:val="24"/>
          <w:szCs w:val="24"/>
        </w:rPr>
        <w:t>长安大学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组织召开了首届“‘一带一路’与文化发展创新学术研讨会”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并得到了全国文化界的广泛支持和参与，取得了良好的学术交流成果。在成功举办首届学术研讨会的基础上，2019年我们计划</w:t>
      </w:r>
      <w:r>
        <w:rPr>
          <w:rFonts w:hint="eastAsia"/>
          <w:sz w:val="24"/>
          <w:szCs w:val="24"/>
          <w:lang w:val="en-US" w:eastAsia="zh-CN"/>
        </w:rPr>
        <w:t>举办“第二届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‘一带一路’与文化发展创新学术研讨会</w:t>
      </w:r>
      <w:r>
        <w:rPr>
          <w:rFonts w:hint="eastAsia"/>
          <w:sz w:val="24"/>
          <w:szCs w:val="24"/>
          <w:lang w:val="en-US" w:eastAsia="zh-CN"/>
        </w:rPr>
        <w:t>”，本届会议主题是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“交流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﹒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融合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﹒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创新——新时代文化自信之路”</w:t>
      </w:r>
      <w:r>
        <w:rPr>
          <w:rFonts w:hint="eastAsia"/>
          <w:sz w:val="24"/>
          <w:szCs w:val="24"/>
          <w:lang w:val="en-US" w:eastAsia="zh-CN"/>
        </w:rPr>
        <w:t>，诚邀全国文化从业者慧聚西安、探究文化高质量发展之道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现将会议</w:t>
      </w:r>
      <w:r>
        <w:rPr>
          <w:rFonts w:hint="eastAsia"/>
          <w:sz w:val="24"/>
          <w:szCs w:val="24"/>
          <w:lang w:val="en-US" w:eastAsia="zh-CN"/>
        </w:rPr>
        <w:t>有关</w:t>
      </w:r>
      <w:r>
        <w:rPr>
          <w:rFonts w:hint="eastAsia"/>
          <w:sz w:val="24"/>
          <w:szCs w:val="24"/>
        </w:rPr>
        <w:t>内容通知如下：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一、会议主题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本次会议将以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“交流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﹒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融合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﹒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创新——新时代文化自信之路”</w:t>
      </w:r>
      <w:r>
        <w:rPr>
          <w:rFonts w:hint="eastAsia"/>
          <w:sz w:val="24"/>
          <w:szCs w:val="24"/>
        </w:rPr>
        <w:t>为主题，就以下选题（但不局限于下述选题）展开</w:t>
      </w:r>
      <w:r>
        <w:rPr>
          <w:rFonts w:hint="eastAsia"/>
          <w:sz w:val="24"/>
          <w:szCs w:val="24"/>
          <w:lang w:val="en-US" w:eastAsia="zh-CN"/>
        </w:rPr>
        <w:t>征文和</w:t>
      </w:r>
      <w:r>
        <w:rPr>
          <w:rFonts w:hint="eastAsia"/>
          <w:sz w:val="24"/>
          <w:szCs w:val="24"/>
        </w:rPr>
        <w:t>研讨：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一</w:t>
      </w:r>
      <w:r>
        <w:rPr>
          <w:rFonts w:hint="eastAsia"/>
          <w:b/>
          <w:bCs/>
          <w:sz w:val="24"/>
          <w:szCs w:val="24"/>
          <w:lang w:eastAsia="zh-CN"/>
        </w:rPr>
        <w:t>）“</w:t>
      </w:r>
      <w:r>
        <w:rPr>
          <w:rFonts w:hint="eastAsia"/>
          <w:b/>
          <w:bCs/>
          <w:sz w:val="24"/>
          <w:szCs w:val="24"/>
          <w:lang w:val="en-US" w:eastAsia="zh-CN"/>
        </w:rPr>
        <w:t>一带一路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与文化交流合作领域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丝绸之路文化产业带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的建设战略与政策需求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一带一路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跨境文化贸易与创新案例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一带一路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倡议与文化交流的形势与路径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一带一路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背景下国内省份的共建机制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  <w:lang w:val="en-US" w:eastAsia="zh-CN"/>
        </w:rPr>
        <w:t>文旅产业融合发展与高质量发展领域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1.文旅产业及其融合发展的战略与理论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2.乡村振兴背景下的区域文旅产业实践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3.“十四五”文旅产业高质量发展研究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4.《文化产业促进法》立法建设与展望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三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  <w:lang w:val="en-US" w:eastAsia="zh-CN"/>
        </w:rPr>
        <w:t>现代公共文化服务体系创新与文化治理领域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1.西部地区公共文化服务体系的建设路径与创新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2.公共文化设施与服务社会化合作的政策与案例分析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3.公共文化服务领域重点改革任务的区域实践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4.文化治理体系与区域文化治理实践探索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二、举办单位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1.</w:t>
      </w:r>
      <w:r>
        <w:rPr>
          <w:rFonts w:hint="eastAsia"/>
          <w:b/>
          <w:bCs/>
          <w:sz w:val="24"/>
          <w:szCs w:val="24"/>
          <w:lang w:val="en-US" w:eastAsia="zh-CN"/>
        </w:rPr>
        <w:t>主办</w:t>
      </w:r>
      <w:r>
        <w:rPr>
          <w:rFonts w:hint="eastAsia"/>
          <w:b/>
          <w:bCs/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长安大学长安文化产业研究中心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陕西省文化产业协同创新研究中心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陕西文化发展与融合创新智库、长安大学公共文化服务研究中心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2.协办单位：</w:t>
      </w:r>
      <w:r>
        <w:rPr>
          <w:rFonts w:hint="eastAsia"/>
          <w:sz w:val="24"/>
          <w:szCs w:val="24"/>
          <w:lang w:val="en-US" w:eastAsia="zh-CN"/>
        </w:rPr>
        <w:t>陕西省社会科学院文化研究所、武汉大学地方政府公共服务创新研究中心、首都师范大学创意产业与传媒文化研究中心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2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3.学术支持单位：</w:t>
      </w:r>
      <w:r>
        <w:rPr>
          <w:rFonts w:hint="eastAsia"/>
          <w:sz w:val="24"/>
          <w:szCs w:val="24"/>
          <w:lang w:val="en-US" w:eastAsia="zh-CN"/>
        </w:rPr>
        <w:t>《人文杂志》（CSSCI来源期刊）、《西安交通大学学报（社会科学版）》（CSSCI来源期刊）、《理论导刊》（CSSCI扩展版期刊）、《长安大学学报（社科版）》、《领导科学论坛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﹒</w:t>
      </w:r>
      <w:r>
        <w:rPr>
          <w:rFonts w:hint="eastAsia"/>
          <w:sz w:val="24"/>
          <w:szCs w:val="24"/>
          <w:lang w:val="en-US" w:eastAsia="zh-CN"/>
        </w:rPr>
        <w:t>国家治理评论》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三、会议时间及地点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会议时间：</w:t>
      </w:r>
      <w:r>
        <w:rPr>
          <w:rFonts w:hint="eastAsia"/>
          <w:b/>
          <w:bCs/>
          <w:sz w:val="24"/>
          <w:szCs w:val="24"/>
          <w:lang w:val="en-US" w:eastAsia="zh-CN"/>
        </w:rPr>
        <w:t>2019年10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lang w:val="en-US" w:eastAsia="zh-CN"/>
        </w:rPr>
        <w:t>18日—19日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会议地点：</w:t>
      </w:r>
      <w:r>
        <w:rPr>
          <w:rFonts w:hint="eastAsia"/>
          <w:b/>
          <w:bCs/>
          <w:sz w:val="24"/>
          <w:szCs w:val="24"/>
        </w:rPr>
        <w:t>长安大学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陕西西安南二环路中段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四、参会人员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按照“高规格、重实效”的原则，</w:t>
      </w:r>
      <w:r>
        <w:rPr>
          <w:rFonts w:hint="eastAsia"/>
          <w:sz w:val="24"/>
          <w:szCs w:val="24"/>
          <w:lang w:val="en-US" w:eastAsia="zh-CN"/>
        </w:rPr>
        <w:t>本次会议诚挚</w:t>
      </w:r>
      <w:r>
        <w:rPr>
          <w:rFonts w:hint="eastAsia"/>
          <w:sz w:val="24"/>
          <w:szCs w:val="24"/>
        </w:rPr>
        <w:t>邀请</w:t>
      </w:r>
      <w:r>
        <w:rPr>
          <w:rFonts w:hint="eastAsia"/>
          <w:sz w:val="24"/>
          <w:szCs w:val="24"/>
          <w:lang w:val="en-US" w:eastAsia="zh-CN"/>
        </w:rPr>
        <w:t>与会议主题相关的</w:t>
      </w:r>
      <w:r>
        <w:rPr>
          <w:rFonts w:hint="eastAsia"/>
          <w:sz w:val="24"/>
          <w:szCs w:val="24"/>
        </w:rPr>
        <w:t>专家学者、文化企事业单位骨干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政府官员，并欢迎全国各地</w:t>
      </w: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一带一路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与</w:t>
      </w:r>
      <w:r>
        <w:rPr>
          <w:rFonts w:hint="eastAsia"/>
          <w:sz w:val="24"/>
          <w:szCs w:val="24"/>
        </w:rPr>
        <w:t>文化产业</w:t>
      </w:r>
      <w:r>
        <w:rPr>
          <w:rFonts w:hint="eastAsia"/>
          <w:sz w:val="24"/>
          <w:szCs w:val="24"/>
          <w:lang w:val="en-US" w:eastAsia="zh-CN"/>
        </w:rPr>
        <w:t>、公共文化服务体系、文化治理感兴趣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lang w:val="en-US" w:eastAsia="zh-CN"/>
        </w:rPr>
        <w:t>学者和研究生们莅临</w:t>
      </w:r>
      <w:r>
        <w:rPr>
          <w:rFonts w:hint="eastAsia"/>
          <w:sz w:val="24"/>
          <w:szCs w:val="24"/>
        </w:rPr>
        <w:t>参会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2"/>
          <w:sz w:val="24"/>
          <w:szCs w:val="24"/>
        </w:rPr>
        <w:t xml:space="preserve">    五、参会方式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Calibri" w:hAnsi="Calibri" w:cs="Times New Roman"/>
          <w:kern w:val="2"/>
          <w:sz w:val="24"/>
          <w:szCs w:val="24"/>
        </w:rPr>
      </w:pPr>
      <w:r>
        <w:rPr>
          <w:rFonts w:hint="eastAsia" w:ascii="Calibri" w:hAnsi="Calibri" w:cs="Times New Roman"/>
          <w:kern w:val="2"/>
          <w:sz w:val="24"/>
          <w:szCs w:val="24"/>
        </w:rPr>
        <w:t>本次会议坚持</w:t>
      </w:r>
      <w:bookmarkStart w:id="0" w:name="_GoBack"/>
      <w:r>
        <w:rPr>
          <w:rFonts w:hint="eastAsia" w:ascii="Calibri" w:hAnsi="Calibri" w:cs="Times New Roman"/>
          <w:b/>
          <w:bCs/>
          <w:kern w:val="2"/>
          <w:sz w:val="24"/>
          <w:szCs w:val="24"/>
        </w:rPr>
        <w:t>以文赴会</w:t>
      </w:r>
      <w:bookmarkEnd w:id="0"/>
      <w:r>
        <w:rPr>
          <w:rFonts w:hint="eastAsia" w:ascii="Calibri" w:hAnsi="Calibri" w:cs="Times New Roman"/>
          <w:kern w:val="2"/>
          <w:sz w:val="24"/>
          <w:szCs w:val="24"/>
        </w:rPr>
        <w:t>，</w:t>
      </w: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与会人员</w:t>
      </w:r>
      <w:r>
        <w:rPr>
          <w:rFonts w:hint="eastAsia" w:ascii="Calibri" w:hAnsi="Calibri" w:cs="Times New Roman"/>
          <w:kern w:val="2"/>
          <w:sz w:val="24"/>
          <w:szCs w:val="24"/>
        </w:rPr>
        <w:t>须提交本选题范围内的学术论文，党委、政府及企事业单位人员可提交本单位</w:t>
      </w: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或</w:t>
      </w:r>
      <w:r>
        <w:rPr>
          <w:rFonts w:hint="eastAsia" w:ascii="Calibri" w:hAnsi="Calibri" w:cs="Times New Roman"/>
          <w:kern w:val="2"/>
          <w:sz w:val="24"/>
          <w:szCs w:val="24"/>
        </w:rPr>
        <w:t>本地</w:t>
      </w: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与本次会议主题相关</w:t>
      </w:r>
      <w:r>
        <w:rPr>
          <w:rFonts w:hint="eastAsia" w:ascii="Calibri" w:hAnsi="Calibri" w:cs="Times New Roman"/>
          <w:kern w:val="2"/>
          <w:sz w:val="24"/>
          <w:szCs w:val="24"/>
        </w:rPr>
        <w:t>的工作报告或经典案例。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会后，会议学术委员会将把优秀学术论文推荐给学术支持单位。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61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kern w:val="2"/>
          <w:sz w:val="24"/>
          <w:szCs w:val="24"/>
          <w:lang w:val="en-US" w:eastAsia="zh-CN" w:bidi="ar-SA"/>
        </w:rPr>
        <w:t>六、参会费用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本次</w:t>
      </w:r>
      <w:r>
        <w:rPr>
          <w:rFonts w:hint="eastAsia"/>
          <w:b/>
          <w:bCs/>
          <w:sz w:val="24"/>
          <w:szCs w:val="24"/>
        </w:rPr>
        <w:t>会议不收取会务费，</w:t>
      </w:r>
      <w:r>
        <w:rPr>
          <w:rFonts w:hint="eastAsia"/>
          <w:b/>
          <w:bCs/>
          <w:sz w:val="24"/>
          <w:szCs w:val="24"/>
          <w:lang w:val="en-US" w:eastAsia="zh-CN"/>
        </w:rPr>
        <w:t>会议当天</w:t>
      </w:r>
      <w:r>
        <w:rPr>
          <w:rFonts w:hint="eastAsia"/>
          <w:b/>
          <w:bCs/>
          <w:sz w:val="24"/>
          <w:szCs w:val="24"/>
        </w:rPr>
        <w:t>中午提供工作</w:t>
      </w:r>
      <w:r>
        <w:rPr>
          <w:rFonts w:hint="eastAsia"/>
          <w:b/>
          <w:bCs/>
          <w:sz w:val="24"/>
          <w:szCs w:val="24"/>
          <w:lang w:val="en-US" w:eastAsia="zh-CN"/>
        </w:rPr>
        <w:t>简</w:t>
      </w:r>
      <w:r>
        <w:rPr>
          <w:rFonts w:hint="eastAsia"/>
          <w:b/>
          <w:bCs/>
          <w:sz w:val="24"/>
          <w:szCs w:val="24"/>
        </w:rPr>
        <w:t>餐，</w:t>
      </w:r>
      <w:r>
        <w:rPr>
          <w:rFonts w:hint="eastAsia"/>
          <w:b/>
          <w:bCs/>
          <w:sz w:val="24"/>
          <w:szCs w:val="24"/>
          <w:lang w:val="en-US" w:eastAsia="zh-CN"/>
        </w:rPr>
        <w:t>往返交通及住宿等</w:t>
      </w:r>
      <w:r>
        <w:rPr>
          <w:rFonts w:hint="eastAsia"/>
          <w:b/>
          <w:bCs/>
          <w:sz w:val="24"/>
          <w:szCs w:val="24"/>
        </w:rPr>
        <w:t>其他费用</w:t>
      </w:r>
      <w:r>
        <w:rPr>
          <w:rFonts w:hint="eastAsia"/>
          <w:b/>
          <w:bCs/>
          <w:sz w:val="24"/>
          <w:szCs w:val="24"/>
          <w:lang w:val="en-US" w:eastAsia="zh-CN"/>
        </w:rPr>
        <w:t>请参会者</w:t>
      </w:r>
      <w:r>
        <w:rPr>
          <w:rFonts w:hint="eastAsia"/>
          <w:b/>
          <w:bCs/>
          <w:sz w:val="24"/>
          <w:szCs w:val="24"/>
        </w:rPr>
        <w:t>自行解决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会议欢迎国内文化研究机构、文化企事业单位等联合设立平行分论坛，如有需要请与会务组联系洽谈。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right="-512" w:rightChars="-244" w:firstLine="561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七、时间节点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9月20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日前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：提交参会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回执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10月10日前：提交论文全文；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10月17日前：发布会议详细议程；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10月18日全天：会议报到；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10月19日全天：会议研讨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right="-512" w:rightChars="-244" w:firstLine="561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、联系方式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会务联系人：王 林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outlineLvl w:val="9"/>
        <w:rPr>
          <w:rFonts w:hint="default" w:ascii="Calibri" w:hAnsi="Calibri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联系电话：</w:t>
      </w:r>
      <w:r>
        <w:rPr>
          <w:rFonts w:hint="eastAsia" w:ascii="Calibri" w:hAnsi="Calibri" w:cs="Times New Roman"/>
          <w:kern w:val="2"/>
          <w:sz w:val="24"/>
          <w:szCs w:val="24"/>
        </w:rPr>
        <w:t>029-82334</w:t>
      </w: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641    手机：15353537166</w:t>
      </w:r>
    </w:p>
    <w:p>
      <w:pPr>
        <w:pStyle w:val="3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Calibri" w:hAnsi="Calibri" w:cs="Times New Roman"/>
          <w:kern w:val="2"/>
          <w:sz w:val="24"/>
          <w:szCs w:val="24"/>
          <w:lang w:val="en-US" w:eastAsia="zh-CN"/>
        </w:rPr>
        <w:t>会务</w:t>
      </w:r>
      <w:r>
        <w:rPr>
          <w:rFonts w:hint="eastAsia" w:ascii="Calibri" w:hAnsi="Calibri" w:cs="Times New Roman"/>
          <w:kern w:val="2"/>
          <w:sz w:val="24"/>
          <w:szCs w:val="24"/>
        </w:rPr>
        <w:t>邮箱：</w:t>
      </w:r>
      <w:r>
        <w:rPr>
          <w:rFonts w:hint="eastAsia" w:ascii="Calibri" w:hAnsi="Calibri" w:cs="Times New Roman"/>
          <w:color w:val="auto"/>
          <w:kern w:val="2"/>
          <w:sz w:val="24"/>
          <w:szCs w:val="24"/>
          <w:lang w:val="en-US" w:eastAsia="zh-CN"/>
        </w:rPr>
        <w:t>changanwenhua</w:t>
      </w:r>
      <w:r>
        <w:rPr>
          <w:rFonts w:hint="eastAsia" w:ascii="Calibri" w:hAnsi="Calibri" w:cs="Times New Roman"/>
          <w:color w:val="auto"/>
          <w:kern w:val="2"/>
          <w:sz w:val="24"/>
          <w:szCs w:val="24"/>
        </w:rPr>
        <w:t>@</w:t>
      </w:r>
      <w:r>
        <w:rPr>
          <w:rFonts w:hint="eastAsia" w:ascii="Calibri" w:hAnsi="Calibri" w:cs="Times New Roman"/>
          <w:color w:val="auto"/>
          <w:kern w:val="2"/>
          <w:sz w:val="24"/>
          <w:szCs w:val="24"/>
          <w:lang w:val="en-US" w:eastAsia="zh-CN"/>
        </w:rPr>
        <w:t>126</w:t>
      </w:r>
      <w:r>
        <w:rPr>
          <w:rFonts w:hint="eastAsia" w:ascii="Calibri" w:hAnsi="Calibri" w:cs="Times New Roman"/>
          <w:color w:val="auto"/>
          <w:kern w:val="2"/>
          <w:sz w:val="24"/>
          <w:szCs w:val="24"/>
        </w:rPr>
        <w:t>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562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3841115</wp:posOffset>
            </wp:positionH>
            <wp:positionV relativeFrom="page">
              <wp:posOffset>5403215</wp:posOffset>
            </wp:positionV>
            <wp:extent cx="1338580" cy="1338580"/>
            <wp:effectExtent l="0" t="0" r="13970" b="13970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2" name="图片 8" descr="qrcode_for_gh_9fe008dbffc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qrcode_for_gh_9fe008dbffcc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55" w:rightChars="-169" w:firstLine="480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长按并识别二维码，关注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“长安文化产业研究中心”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，进入公众号后回复“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会议”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即可扫码进入会议群。</w:t>
      </w:r>
    </w:p>
    <w:p>
      <w:pPr>
        <w:spacing w:line="280" w:lineRule="exact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ge">
                  <wp:posOffset>6788150</wp:posOffset>
                </wp:positionV>
                <wp:extent cx="4037965" cy="2003425"/>
                <wp:effectExtent l="0" t="0" r="0" b="0"/>
                <wp:wrapTopAndBottom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长 安 大 学 长 安 文 化 产 业 研 究 中 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陕西省文化产业协同创新研究中心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陕西文化发展与融合创新智库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长安大学公共文化服务研究中心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/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5.5pt;margin-top:534.5pt;height:157.75pt;width:317.95pt;mso-position-vertical-relative:page;mso-wrap-distance-bottom:0pt;mso-wrap-distance-top:0pt;z-index:251658240;mso-width-relative:page;mso-height-relative:page;" filled="f" stroked="f" coordsize="21600,21600" o:gfxdata="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c+9/bYAAAA&#10;DQEAAA8AAAAAAAAAAQAgAAAAIgAAAGRycy9kb3ducmV2LnhtbFBLAQIUABQAAAAIAIdO4kCVq+nj&#10;qwEAACY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长 安 大 学 长 安 文 化 产 业 研 究 中 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陕西省文化产业协同创新研究中心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distribute"/>
                        <w:textAlignment w:val="auto"/>
                        <w:outlineLvl w:val="9"/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陕西文化发展与融合创新智库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长安大学公共文化服务研究中心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日</w:t>
                      </w:r>
                    </w:p>
                    <w:p/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宋体" w:hAnsi="宋体" w:cs="宋体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br w:type="page"/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第二届</w:t>
      </w:r>
      <w:r>
        <w:rPr>
          <w:rFonts w:hint="eastAsia" w:ascii="黑体" w:hAnsi="黑体" w:eastAsia="黑体" w:cs="黑体"/>
          <w:b/>
          <w:sz w:val="32"/>
          <w:szCs w:val="32"/>
        </w:rPr>
        <w:t>“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‘</w:t>
      </w:r>
      <w:r>
        <w:rPr>
          <w:rFonts w:hint="eastAsia" w:ascii="黑体" w:hAnsi="黑体" w:eastAsia="黑体" w:cs="黑体"/>
          <w:b/>
          <w:sz w:val="32"/>
          <w:szCs w:val="32"/>
        </w:rPr>
        <w:t>一带一路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’</w:t>
      </w:r>
      <w:r>
        <w:rPr>
          <w:rFonts w:hint="eastAsia" w:ascii="黑体" w:hAnsi="黑体" w:eastAsia="黑体" w:cs="黑体"/>
          <w:b/>
          <w:sz w:val="32"/>
          <w:szCs w:val="32"/>
        </w:rPr>
        <w:t>与文化发展创新学术研讨会”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参会回执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40"/>
        <w:gridCol w:w="1771"/>
        <w:gridCol w:w="624"/>
        <w:gridCol w:w="1148"/>
        <w:gridCol w:w="836"/>
        <w:gridCol w:w="93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参会论文题目</w:t>
            </w: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sz w:val="28"/>
                <w:szCs w:val="28"/>
              </w:rPr>
              <w:t>摘要</w:t>
            </w:r>
          </w:p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（限300字内）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一同参会人员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请标明姓名、性别、职务、职称及电话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住宿要求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（二选一）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雁塔假日酒店</w:t>
            </w: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万谛美途酒店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房间类型</w:t>
            </w:r>
          </w:p>
          <w:p>
            <w:pPr>
              <w:spacing w:line="400" w:lineRule="exact"/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（二选一）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标准间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普通单间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标准间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普通单间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  <w:tc>
          <w:tcPr>
            <w:tcW w:w="1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两个协议酒店分别是雁塔假日酒店，标准间、普通单间均为500元/天（含早餐）；万谛美途酒店，标准间、普通单间均为300元/天（含早餐）。</w:t>
      </w:r>
    </w:p>
    <w:sectPr>
      <w:pgSz w:w="11906" w:h="16838"/>
      <w:pgMar w:top="1417" w:right="1701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51E4D"/>
    <w:rsid w:val="03053E1E"/>
    <w:rsid w:val="04383BE0"/>
    <w:rsid w:val="05B273AA"/>
    <w:rsid w:val="06D02656"/>
    <w:rsid w:val="073207BE"/>
    <w:rsid w:val="07E4449C"/>
    <w:rsid w:val="086D3433"/>
    <w:rsid w:val="08DD2A9B"/>
    <w:rsid w:val="09891F1C"/>
    <w:rsid w:val="0A7C0BCF"/>
    <w:rsid w:val="0B6D5B40"/>
    <w:rsid w:val="0BCA6E09"/>
    <w:rsid w:val="0D834C4A"/>
    <w:rsid w:val="0DB40CA8"/>
    <w:rsid w:val="0E7F0779"/>
    <w:rsid w:val="0F904AC3"/>
    <w:rsid w:val="0FD06DA8"/>
    <w:rsid w:val="0FFA244D"/>
    <w:rsid w:val="10A81CB6"/>
    <w:rsid w:val="1120316D"/>
    <w:rsid w:val="11340C1B"/>
    <w:rsid w:val="126619CD"/>
    <w:rsid w:val="156E3751"/>
    <w:rsid w:val="168F01F6"/>
    <w:rsid w:val="16CB392B"/>
    <w:rsid w:val="16EA581D"/>
    <w:rsid w:val="17E1014C"/>
    <w:rsid w:val="18266119"/>
    <w:rsid w:val="196C0913"/>
    <w:rsid w:val="1A43631E"/>
    <w:rsid w:val="1AFB6B86"/>
    <w:rsid w:val="1C1F06AD"/>
    <w:rsid w:val="1C403305"/>
    <w:rsid w:val="1C8A0E4F"/>
    <w:rsid w:val="1CF27A0B"/>
    <w:rsid w:val="1DAE64DD"/>
    <w:rsid w:val="1EDE0530"/>
    <w:rsid w:val="1FB22201"/>
    <w:rsid w:val="1FB34D0F"/>
    <w:rsid w:val="201F20C6"/>
    <w:rsid w:val="22AE4FB2"/>
    <w:rsid w:val="24094F82"/>
    <w:rsid w:val="25F013AD"/>
    <w:rsid w:val="271D36AC"/>
    <w:rsid w:val="292C3BDB"/>
    <w:rsid w:val="2A041339"/>
    <w:rsid w:val="2AC64DE8"/>
    <w:rsid w:val="2B804BF3"/>
    <w:rsid w:val="2C371FFC"/>
    <w:rsid w:val="2CEB4A70"/>
    <w:rsid w:val="2D246A0C"/>
    <w:rsid w:val="2E2522A7"/>
    <w:rsid w:val="305D6B4A"/>
    <w:rsid w:val="30FF4DC7"/>
    <w:rsid w:val="31DD0182"/>
    <w:rsid w:val="32314648"/>
    <w:rsid w:val="336B2BD7"/>
    <w:rsid w:val="342A4D44"/>
    <w:rsid w:val="353D76D1"/>
    <w:rsid w:val="356307F2"/>
    <w:rsid w:val="368E10ED"/>
    <w:rsid w:val="37BF7B06"/>
    <w:rsid w:val="37C354C9"/>
    <w:rsid w:val="37D2687E"/>
    <w:rsid w:val="38154407"/>
    <w:rsid w:val="39BE5EDD"/>
    <w:rsid w:val="39E4294F"/>
    <w:rsid w:val="3A32576A"/>
    <w:rsid w:val="3AFE066B"/>
    <w:rsid w:val="3BB7077C"/>
    <w:rsid w:val="3C9857CA"/>
    <w:rsid w:val="3CF91548"/>
    <w:rsid w:val="3D8D46D9"/>
    <w:rsid w:val="3EEC7E5B"/>
    <w:rsid w:val="42A2422A"/>
    <w:rsid w:val="4366229F"/>
    <w:rsid w:val="43817E6E"/>
    <w:rsid w:val="45103877"/>
    <w:rsid w:val="460E7513"/>
    <w:rsid w:val="47AF6516"/>
    <w:rsid w:val="48681754"/>
    <w:rsid w:val="4873436A"/>
    <w:rsid w:val="48766964"/>
    <w:rsid w:val="498576A0"/>
    <w:rsid w:val="4AA953FD"/>
    <w:rsid w:val="4C62115D"/>
    <w:rsid w:val="4D4B1F1C"/>
    <w:rsid w:val="4FFD2C64"/>
    <w:rsid w:val="4FFD7E26"/>
    <w:rsid w:val="513337E6"/>
    <w:rsid w:val="51712629"/>
    <w:rsid w:val="51A00CCB"/>
    <w:rsid w:val="52A110AD"/>
    <w:rsid w:val="54620D92"/>
    <w:rsid w:val="55BC3F80"/>
    <w:rsid w:val="563D77AB"/>
    <w:rsid w:val="5B5E1AA5"/>
    <w:rsid w:val="5BC53AA5"/>
    <w:rsid w:val="5C6C7F6D"/>
    <w:rsid w:val="5CC01E9D"/>
    <w:rsid w:val="5E47160D"/>
    <w:rsid w:val="5FAF3AD9"/>
    <w:rsid w:val="60435A70"/>
    <w:rsid w:val="609B7CA5"/>
    <w:rsid w:val="622D2EE1"/>
    <w:rsid w:val="62553BF8"/>
    <w:rsid w:val="631F3756"/>
    <w:rsid w:val="64172FB8"/>
    <w:rsid w:val="64811B89"/>
    <w:rsid w:val="66FE24A7"/>
    <w:rsid w:val="670204F9"/>
    <w:rsid w:val="67552C26"/>
    <w:rsid w:val="67BE1398"/>
    <w:rsid w:val="68423F7D"/>
    <w:rsid w:val="68FE3029"/>
    <w:rsid w:val="69941E47"/>
    <w:rsid w:val="69A75FB1"/>
    <w:rsid w:val="6A8A6BF9"/>
    <w:rsid w:val="6B6805DB"/>
    <w:rsid w:val="6B8A74F5"/>
    <w:rsid w:val="6F31299B"/>
    <w:rsid w:val="707916FF"/>
    <w:rsid w:val="70E3426E"/>
    <w:rsid w:val="71DE4D32"/>
    <w:rsid w:val="72862E9A"/>
    <w:rsid w:val="753C5C55"/>
    <w:rsid w:val="77131071"/>
    <w:rsid w:val="78B409E0"/>
    <w:rsid w:val="79883400"/>
    <w:rsid w:val="7ACB0DD4"/>
    <w:rsid w:val="7C032941"/>
    <w:rsid w:val="7C1C66F8"/>
    <w:rsid w:val="7CF90C21"/>
    <w:rsid w:val="7D4D5A42"/>
    <w:rsid w:val="7D710B22"/>
    <w:rsid w:val="7D9A6E32"/>
    <w:rsid w:val="7DFC592A"/>
    <w:rsid w:val="7DFD423A"/>
    <w:rsid w:val="7E044614"/>
    <w:rsid w:val="7F8A71AA"/>
    <w:rsid w:val="7FFF0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1610</Words>
  <Characters>1705</Characters>
  <Lines>9</Lines>
  <Paragraphs>2</Paragraphs>
  <TotalTime>9</TotalTime>
  <ScaleCrop>false</ScaleCrop>
  <LinksUpToDate>false</LinksUpToDate>
  <CharactersWithSpaces>1748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2017-04-05T01:40:00Z</dcterms:created>
  <dc:creator>ai xin jue luo</dc:creator>
  <cp:lastModifiedBy>Whitea.</cp:lastModifiedBy>
  <cp:lastPrinted>2019-08-18T01:18:00Z</cp:lastPrinted>
  <dcterms:modified xsi:type="dcterms:W3CDTF">2019-08-23T02:28:53Z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